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D8586" w14:textId="35C91F00" w:rsidR="002B779F" w:rsidRPr="00E9760F" w:rsidRDefault="002B779F" w:rsidP="00E9760F">
      <w:pPr>
        <w:pStyle w:val="TOC8"/>
        <w:rPr>
          <w:rStyle w:val="ZGSM"/>
          <w:rFonts w:ascii="Arial" w:hAnsi="Arial" w:cs="Arial"/>
        </w:rPr>
      </w:pPr>
      <w:r w:rsidRPr="00E9760F">
        <w:rPr>
          <w:rStyle w:val="ZGSM"/>
          <w:rFonts w:ascii="Arial" w:hAnsi="Arial" w:cs="Arial"/>
        </w:rPr>
        <w:t>Source:</w:t>
      </w:r>
      <w:r w:rsidRPr="00E9760F">
        <w:rPr>
          <w:rStyle w:val="ZGSM"/>
          <w:rFonts w:ascii="Arial" w:hAnsi="Arial" w:cs="Arial"/>
        </w:rPr>
        <w:tab/>
      </w:r>
      <w:r w:rsidR="008D3E0C">
        <w:rPr>
          <w:rStyle w:val="ZGSM"/>
          <w:rFonts w:ascii="Arial" w:hAnsi="Arial" w:cs="Arial"/>
        </w:rPr>
        <w:t>Qualcomm Technologies Int.</w:t>
      </w:r>
    </w:p>
    <w:p w14:paraId="338828F7" w14:textId="5BD08D20" w:rsidR="002B779F" w:rsidRPr="00E9760F" w:rsidRDefault="002B779F" w:rsidP="00E9760F">
      <w:pPr>
        <w:pStyle w:val="TOC8"/>
        <w:rPr>
          <w:rStyle w:val="ZGSM"/>
          <w:rFonts w:ascii="Arial" w:hAnsi="Arial" w:cs="Arial"/>
        </w:rPr>
      </w:pPr>
      <w:r w:rsidRPr="00E9760F">
        <w:rPr>
          <w:rStyle w:val="ZGSM"/>
          <w:rFonts w:ascii="Arial" w:hAnsi="Arial" w:cs="Arial"/>
        </w:rPr>
        <w:t>Title:</w:t>
      </w:r>
      <w:r w:rsidRPr="00E9760F">
        <w:rPr>
          <w:rStyle w:val="ZGSM"/>
          <w:rFonts w:ascii="Arial" w:hAnsi="Arial" w:cs="Arial"/>
        </w:rPr>
        <w:tab/>
      </w:r>
      <w:r w:rsidR="00B20FF9">
        <w:rPr>
          <w:rStyle w:val="ZGSM"/>
          <w:rFonts w:ascii="Arial" w:hAnsi="Arial" w:cs="Arial"/>
        </w:rPr>
        <w:t>On Speaker Array for ATIAS testing</w:t>
      </w:r>
    </w:p>
    <w:p w14:paraId="099869EB" w14:textId="1E82C8FA" w:rsidR="002B779F" w:rsidRPr="00E9760F" w:rsidRDefault="002B779F" w:rsidP="00E9760F">
      <w:pPr>
        <w:pStyle w:val="TOC8"/>
        <w:rPr>
          <w:rStyle w:val="ZGSM"/>
          <w:rFonts w:ascii="Arial" w:hAnsi="Arial" w:cs="Arial"/>
        </w:rPr>
      </w:pPr>
      <w:r w:rsidRPr="00E9760F">
        <w:rPr>
          <w:rStyle w:val="ZGSM"/>
          <w:rFonts w:ascii="Arial" w:hAnsi="Arial" w:cs="Arial"/>
        </w:rPr>
        <w:t>Document for:</w:t>
      </w:r>
      <w:r w:rsidRPr="00E9760F">
        <w:rPr>
          <w:rStyle w:val="ZGSM"/>
          <w:rFonts w:ascii="Arial" w:hAnsi="Arial" w:cs="Arial"/>
        </w:rPr>
        <w:tab/>
      </w:r>
      <w:r w:rsidR="00B20FF9">
        <w:rPr>
          <w:rStyle w:val="ZGSM"/>
          <w:rFonts w:ascii="Arial" w:hAnsi="Arial" w:cs="Arial"/>
        </w:rPr>
        <w:t>Agreement</w:t>
      </w:r>
    </w:p>
    <w:p w14:paraId="3943919E" w14:textId="77777777" w:rsidR="002B779F" w:rsidRDefault="002B779F" w:rsidP="00F249FC">
      <w:pPr>
        <w:pStyle w:val="Heading1"/>
      </w:pPr>
      <w:r>
        <w:t>Introduction</w:t>
      </w:r>
    </w:p>
    <w:p w14:paraId="76BF8B40" w14:textId="6C85039D" w:rsidR="001A4655" w:rsidRDefault="00011871" w:rsidP="002B779F">
      <w:r>
        <w:t>3GPP TS 26.260</w:t>
      </w:r>
      <w:r w:rsidR="00C50AC4">
        <w:t xml:space="preserve"> defines a periphonic </w:t>
      </w:r>
      <w:r w:rsidR="00D372CE">
        <w:t xml:space="preserve">loudspeaker array </w:t>
      </w:r>
      <w:r w:rsidR="00B71DE3">
        <w:t>for diffuse</w:t>
      </w:r>
      <w:r w:rsidR="007641A3">
        <w:t>-field frequency response</w:t>
      </w:r>
      <w:r w:rsidR="00E93F41">
        <w:t xml:space="preserve"> in the sending direction. The current text gives flexibility </w:t>
      </w:r>
      <w:r w:rsidR="009F0718">
        <w:t xml:space="preserve">on the </w:t>
      </w:r>
      <w:r w:rsidR="001861BF">
        <w:t xml:space="preserve">choice of </w:t>
      </w:r>
      <w:r w:rsidR="005B43DF">
        <w:t xml:space="preserve">the </w:t>
      </w:r>
      <w:r w:rsidR="001861BF">
        <w:t>N</w:t>
      </w:r>
      <w:r w:rsidR="001861BF" w:rsidRPr="0085378B">
        <w:rPr>
          <w:vertAlign w:val="superscript"/>
        </w:rPr>
        <w:t>th</w:t>
      </w:r>
      <w:r w:rsidR="001861BF">
        <w:t xml:space="preserve"> </w:t>
      </w:r>
      <w:r w:rsidR="009F0718">
        <w:t>order of the array</w:t>
      </w:r>
      <w:r w:rsidR="00B0762B">
        <w:t xml:space="preserve">. </w:t>
      </w:r>
      <w:r w:rsidR="0090396B">
        <w:t>Further guidance is provided in Section 4.1.</w:t>
      </w:r>
      <w:r w:rsidR="001228B4">
        <w:t>1.3.1 in the following text:</w:t>
      </w:r>
    </w:p>
    <w:p w14:paraId="6FD2C37E" w14:textId="7A5CBD97" w:rsidR="001228B4" w:rsidRPr="00B06A2E" w:rsidRDefault="001228B4" w:rsidP="001228B4">
      <w:pPr>
        <w:pStyle w:val="B1"/>
      </w:pPr>
      <w:r>
        <w:t>“</w:t>
      </w:r>
      <w:r w:rsidRPr="00B06A2E">
        <w:rPr>
          <w:i/>
        </w:rPr>
        <w:t xml:space="preserve">N </w:t>
      </w:r>
      <w:r w:rsidRPr="00B06A2E">
        <w:t xml:space="preserve">should be equal or greater than the maximum ambisonics order supported by the device under test (DUT), e.g. </w:t>
      </w:r>
      <w:r w:rsidRPr="00B06A2E">
        <w:rPr>
          <w:i/>
        </w:rPr>
        <w:t>N&gt;=</w:t>
      </w:r>
      <w:r w:rsidRPr="00B06A2E">
        <w:t>4 for a DUT supporting 4</w:t>
      </w:r>
      <w:r w:rsidRPr="00B06A2E">
        <w:rPr>
          <w:vertAlign w:val="superscript"/>
        </w:rPr>
        <w:t>th</w:t>
      </w:r>
      <w:r w:rsidRPr="00B06A2E">
        <w:t xml:space="preserve"> order Ambisonics capture.</w:t>
      </w:r>
      <w:r>
        <w:t>”</w:t>
      </w:r>
    </w:p>
    <w:p w14:paraId="0393703F" w14:textId="77777777" w:rsidR="00656CD5" w:rsidRDefault="00553835" w:rsidP="002B779F">
      <w:r>
        <w:t xml:space="preserve">This flexibility may however be undesirable </w:t>
      </w:r>
      <w:r w:rsidR="009D1D69">
        <w:t>due to lab repeatability concerns.</w:t>
      </w:r>
      <w:r w:rsidR="00455B88">
        <w:t xml:space="preserve"> </w:t>
      </w:r>
      <w:r w:rsidR="002F32E8">
        <w:t>It is therefore of interest to define a fixed array order/setup for the purposes of IVAS testing.</w:t>
      </w:r>
      <w:r w:rsidR="00C34158">
        <w:t xml:space="preserve"> </w:t>
      </w:r>
    </w:p>
    <w:p w14:paraId="042BA89A" w14:textId="0AB5FA89" w:rsidR="001228B4" w:rsidRPr="001A4655" w:rsidRDefault="00C34158" w:rsidP="002B779F">
      <w:r>
        <w:t xml:space="preserve">The </w:t>
      </w:r>
      <w:r w:rsidR="00A035E9">
        <w:t xml:space="preserve">periphonic loudspeaker </w:t>
      </w:r>
      <w:r>
        <w:t>array may also provide additional capabilities for testing IVAS devices. E.g</w:t>
      </w:r>
      <w:r w:rsidR="0007132A">
        <w:t>,</w:t>
      </w:r>
      <w:r w:rsidR="00A035E9">
        <w:t xml:space="preserve"> it can be used for testing multiple directional sources simultaneously (multi-talker), provide</w:t>
      </w:r>
      <w:r w:rsidR="0007132A">
        <w:t xml:space="preserve"> directional responses, etc.</w:t>
      </w:r>
      <w:r w:rsidR="00656CD5">
        <w:t xml:space="preserve"> </w:t>
      </w:r>
    </w:p>
    <w:p w14:paraId="7836A56B" w14:textId="4494B562" w:rsidR="002B779F" w:rsidRDefault="00011871" w:rsidP="002B779F">
      <w:pPr>
        <w:pStyle w:val="Heading1"/>
      </w:pPr>
      <w:r>
        <w:t>Proposal</w:t>
      </w:r>
    </w:p>
    <w:p w14:paraId="6F83E384" w14:textId="40C9B479" w:rsidR="002F32E8" w:rsidRDefault="002F32E8" w:rsidP="002F32E8">
      <w:r>
        <w:t>The source proposes that N=4</w:t>
      </w:r>
      <w:r w:rsidR="0007132A">
        <w:t xml:space="preserve"> be adopted for</w:t>
      </w:r>
      <w:r w:rsidR="00F84997">
        <w:t xml:space="preserve"> the N</w:t>
      </w:r>
      <w:r w:rsidR="00F84997" w:rsidRPr="00F84997">
        <w:rPr>
          <w:vertAlign w:val="superscript"/>
        </w:rPr>
        <w:t>th</w:t>
      </w:r>
      <w:r w:rsidR="00F84997">
        <w:t xml:space="preserve"> order of the</w:t>
      </w:r>
      <w:r w:rsidR="0007132A">
        <w:t xml:space="preserve"> IVAS</w:t>
      </w:r>
      <w:r w:rsidR="00F84997">
        <w:t xml:space="preserve"> speaker array testing</w:t>
      </w:r>
      <w:r w:rsidR="0007132A">
        <w:t>. The following considerations support this proposal:</w:t>
      </w:r>
    </w:p>
    <w:p w14:paraId="593D0B72" w14:textId="377269B4" w:rsidR="007D4774" w:rsidRDefault="00555A4A" w:rsidP="00555A4A">
      <w:pPr>
        <w:pStyle w:val="ListParagraph"/>
        <w:numPr>
          <w:ilvl w:val="0"/>
          <w:numId w:val="17"/>
        </w:numPr>
      </w:pPr>
      <w:r>
        <w:t>IVAS supports up to HOA3 and is desirable to have same or higher spatial resolution on the generation of the diffuse-field.</w:t>
      </w:r>
    </w:p>
    <w:p w14:paraId="21B1FFB9" w14:textId="4EC7921C" w:rsidR="0007132A" w:rsidRDefault="00656CD5" w:rsidP="00555A4A">
      <w:pPr>
        <w:pStyle w:val="ListParagraph"/>
        <w:numPr>
          <w:ilvl w:val="0"/>
          <w:numId w:val="17"/>
        </w:numPr>
      </w:pPr>
      <w:r>
        <w:t>N=4</w:t>
      </w:r>
      <w:r w:rsidR="007E3FB7">
        <w:t xml:space="preserve">, translates to 25 channels which </w:t>
      </w:r>
      <w:r w:rsidR="007D4774">
        <w:t>fits in the 32-channel configuration</w:t>
      </w:r>
      <w:r w:rsidR="007E3FB7">
        <w:t xml:space="preserve"> readily supported </w:t>
      </w:r>
      <w:r w:rsidR="00D843EF">
        <w:t xml:space="preserve">by sound cards </w:t>
      </w:r>
      <w:r w:rsidR="001639CE">
        <w:t xml:space="preserve">and </w:t>
      </w:r>
      <w:r w:rsidR="00D87D1C">
        <w:t xml:space="preserve">multi-channel amplifiers </w:t>
      </w:r>
      <w:r w:rsidR="00D843EF">
        <w:t>in the market</w:t>
      </w:r>
      <w:r w:rsidR="00337FF4">
        <w:t>, e.g. using a MADI interface</w:t>
      </w:r>
      <w:r w:rsidR="00D843EF">
        <w:t>.</w:t>
      </w:r>
      <w:r w:rsidR="00D87D1C">
        <w:t xml:space="preserve"> See, e.g. [3] and [4]</w:t>
      </w:r>
      <w:r w:rsidR="007D4774">
        <w:t>.</w:t>
      </w:r>
    </w:p>
    <w:p w14:paraId="7FEB6AF5" w14:textId="47E36816" w:rsidR="00555A4A" w:rsidRDefault="00096452" w:rsidP="00555A4A">
      <w:pPr>
        <w:pStyle w:val="ListParagraph"/>
        <w:numPr>
          <w:ilvl w:val="0"/>
          <w:numId w:val="17"/>
        </w:numPr>
      </w:pPr>
      <w:r>
        <w:t xml:space="preserve">The high channel count allows for additional directional test </w:t>
      </w:r>
      <w:r w:rsidR="006D5527">
        <w:t xml:space="preserve">capability </w:t>
      </w:r>
      <w:r>
        <w:t>and higher diffusivity.</w:t>
      </w:r>
    </w:p>
    <w:p w14:paraId="212CCD2A" w14:textId="7185D356" w:rsidR="007D4774" w:rsidRDefault="00096452" w:rsidP="002F32E8">
      <w:pPr>
        <w:pStyle w:val="ListParagraph"/>
        <w:numPr>
          <w:ilvl w:val="0"/>
          <w:numId w:val="17"/>
        </w:numPr>
      </w:pPr>
      <w:r>
        <w:t xml:space="preserve">The extra 7 channels remaining (considering a 32-channel </w:t>
      </w:r>
      <w:r w:rsidR="006D5527">
        <w:t>capability) can be used to add additional speaker positions being specified for other ATIAS tests</w:t>
      </w:r>
      <w:r w:rsidR="00F165B1">
        <w:t>.</w:t>
      </w:r>
    </w:p>
    <w:p w14:paraId="6C9C8F3E" w14:textId="77777777" w:rsidR="00D069DC" w:rsidRDefault="00F165B1" w:rsidP="002F32E8">
      <w:pPr>
        <w:pStyle w:val="ListParagraph"/>
        <w:numPr>
          <w:ilvl w:val="0"/>
          <w:numId w:val="17"/>
        </w:numPr>
      </w:pPr>
      <w:r>
        <w:t>Despite its high capability, the 4</w:t>
      </w:r>
      <w:r w:rsidRPr="00F165B1">
        <w:rPr>
          <w:vertAlign w:val="superscript"/>
        </w:rPr>
        <w:t>th</w:t>
      </w:r>
      <w:r>
        <w:t xml:space="preserve"> order array can still be constructed at a </w:t>
      </w:r>
      <w:r w:rsidR="00B95440">
        <w:t>reasonable cost, by</w:t>
      </w:r>
      <w:r w:rsidR="00D069DC">
        <w:t>:</w:t>
      </w:r>
      <w:r w:rsidR="00D67378">
        <w:t xml:space="preserve"> </w:t>
      </w:r>
    </w:p>
    <w:p w14:paraId="6A4832E9" w14:textId="77777777" w:rsidR="00D069DC" w:rsidRDefault="00D67378" w:rsidP="00D069DC">
      <w:pPr>
        <w:pStyle w:val="ListParagraph"/>
        <w:numPr>
          <w:ilvl w:val="1"/>
          <w:numId w:val="17"/>
        </w:numPr>
      </w:pPr>
      <w:r>
        <w:t>(1) building out a geodesic polyhedron structure</w:t>
      </w:r>
      <w:r w:rsidR="00D069DC">
        <w:t xml:space="preserve"> [2] out of PVC pipes.</w:t>
      </w:r>
      <w:r w:rsidR="00B95440">
        <w:t xml:space="preserve"> </w:t>
      </w:r>
    </w:p>
    <w:p w14:paraId="3865DB0A" w14:textId="6587E2A1" w:rsidR="002F32E8" w:rsidRDefault="00D069DC" w:rsidP="002F32E8">
      <w:pPr>
        <w:pStyle w:val="ListParagraph"/>
        <w:numPr>
          <w:ilvl w:val="1"/>
          <w:numId w:val="17"/>
        </w:numPr>
      </w:pPr>
      <w:r>
        <w:t xml:space="preserve">(2) </w:t>
      </w:r>
      <w:r w:rsidR="00903FF6">
        <w:t xml:space="preserve">keeping the radius small and </w:t>
      </w:r>
      <w:r w:rsidR="00B95440">
        <w:t>using smaller coaxial speakers (complemented where needed by one or more subwoofers)</w:t>
      </w:r>
      <w:r w:rsidR="00903FF6">
        <w:t>. See, e.g. [5]</w:t>
      </w:r>
      <w:r w:rsidR="00F269E6">
        <w:t>.</w:t>
      </w:r>
    </w:p>
    <w:p w14:paraId="1CC14598" w14:textId="50CBD65E" w:rsidR="00F269E6" w:rsidRPr="002F32E8" w:rsidRDefault="00F269E6" w:rsidP="00F269E6">
      <w:r>
        <w:t>If cost is still a concern, a further consideration is the relaxation of the free-field requirements that are currently in place for the test environment.</w:t>
      </w:r>
    </w:p>
    <w:p w14:paraId="0D75F9F2" w14:textId="6631AF86" w:rsidR="00A35220" w:rsidRDefault="002B779F" w:rsidP="002B779F">
      <w:pPr>
        <w:pStyle w:val="Heading1"/>
      </w:pPr>
      <w:r>
        <w:t>References</w:t>
      </w:r>
      <w:r>
        <w:fldChar w:fldCharType="begin"/>
      </w:r>
      <w:r w:rsidRPr="00F269E6">
        <w:rPr>
          <w:lang w:val="de-DE"/>
        </w:rPr>
        <w:instrText xml:space="preserve"> BIBLIOGRAPHY  \l 1031 </w:instrText>
      </w:r>
      <w: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32"/>
      </w:tblGrid>
      <w:tr w:rsidR="00A35220" w14:paraId="4100CC4D" w14:textId="77777777" w:rsidTr="00565E9B">
        <w:trPr>
          <w:divId w:val="424542518"/>
          <w:tblCellSpacing w:w="15" w:type="dxa"/>
        </w:trPr>
        <w:tc>
          <w:tcPr>
            <w:tcW w:w="137" w:type="pct"/>
            <w:hideMark/>
          </w:tcPr>
          <w:p w14:paraId="028D6A14" w14:textId="36F91A62" w:rsidR="00A35220" w:rsidRDefault="00A35220">
            <w:pPr>
              <w:pStyle w:val="Bibliography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062B2A42" w14:textId="15ACE0F6" w:rsidR="00A35220" w:rsidRDefault="00A035E9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TS 26.260</w:t>
            </w:r>
            <w:r w:rsidR="00FB76CB">
              <w:rPr>
                <w:noProof/>
                <w:lang w:val="de-DE"/>
              </w:rPr>
              <w:t xml:space="preserve"> - </w:t>
            </w:r>
            <w:r w:rsidR="00FB76CB" w:rsidRPr="00FB76CB">
              <w:rPr>
                <w:noProof/>
                <w:lang w:val="de-DE"/>
              </w:rPr>
              <w:t>Objective test methodologies for the evaluation of immersive audio systems</w:t>
            </w:r>
          </w:p>
        </w:tc>
      </w:tr>
      <w:tr w:rsidR="00A35220" w14:paraId="3C36941A" w14:textId="77777777" w:rsidTr="00565E9B">
        <w:trPr>
          <w:divId w:val="424542518"/>
          <w:tblCellSpacing w:w="15" w:type="dxa"/>
        </w:trPr>
        <w:tc>
          <w:tcPr>
            <w:tcW w:w="137" w:type="pct"/>
            <w:hideMark/>
          </w:tcPr>
          <w:p w14:paraId="56AA7884" w14:textId="77777777" w:rsidR="00A35220" w:rsidRDefault="00A35220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64DE38D1" w14:textId="0A0BFFFC" w:rsidR="00A35220" w:rsidRDefault="00F33B9D">
            <w:pPr>
              <w:pStyle w:val="Bibliography"/>
              <w:rPr>
                <w:noProof/>
                <w:lang w:val="de-DE"/>
              </w:rPr>
            </w:pPr>
            <w:r w:rsidRPr="00F33B9D">
              <w:rPr>
                <w:noProof/>
                <w:lang w:val="de-DE"/>
              </w:rPr>
              <w:t>https://en.wikipedia.org/wiki/Geodesic_polyhedron</w:t>
            </w:r>
            <w:r w:rsidR="00A35220">
              <w:rPr>
                <w:noProof/>
                <w:lang w:val="de-DE"/>
              </w:rPr>
              <w:t xml:space="preserve">. </w:t>
            </w:r>
          </w:p>
        </w:tc>
      </w:tr>
      <w:tr w:rsidR="00A35220" w14:paraId="33B73AA2" w14:textId="77777777" w:rsidTr="00565E9B">
        <w:trPr>
          <w:divId w:val="424542518"/>
          <w:tblCellSpacing w:w="15" w:type="dxa"/>
        </w:trPr>
        <w:tc>
          <w:tcPr>
            <w:tcW w:w="137" w:type="pct"/>
            <w:hideMark/>
          </w:tcPr>
          <w:p w14:paraId="14DC6BAF" w14:textId="77777777" w:rsidR="00A35220" w:rsidRDefault="00A35220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671BE1ED" w14:textId="3DDBD646" w:rsidR="00A35220" w:rsidRDefault="0089109D">
            <w:pPr>
              <w:pStyle w:val="Bibliography"/>
              <w:rPr>
                <w:noProof/>
                <w:lang w:val="de-DE"/>
              </w:rPr>
            </w:pPr>
            <w:r w:rsidRPr="0089109D">
              <w:rPr>
                <w:noProof/>
                <w:lang w:val="de-DE"/>
              </w:rPr>
              <w:t>https://rme-audio.de/madiface-pro.html</w:t>
            </w:r>
          </w:p>
        </w:tc>
      </w:tr>
      <w:tr w:rsidR="00EE4DE7" w14:paraId="0D430C66" w14:textId="77777777" w:rsidTr="00565E9B">
        <w:trPr>
          <w:divId w:val="424542518"/>
          <w:tblCellSpacing w:w="15" w:type="dxa"/>
        </w:trPr>
        <w:tc>
          <w:tcPr>
            <w:tcW w:w="137" w:type="pct"/>
          </w:tcPr>
          <w:p w14:paraId="5210CFAF" w14:textId="0E3BFB17" w:rsidR="00EE4DE7" w:rsidRDefault="00EE4DE7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[4]</w:t>
            </w:r>
          </w:p>
        </w:tc>
        <w:tc>
          <w:tcPr>
            <w:tcW w:w="0" w:type="auto"/>
          </w:tcPr>
          <w:p w14:paraId="69FC407E" w14:textId="71755E1C" w:rsidR="00EE4DE7" w:rsidRPr="00AD2AE3" w:rsidRDefault="0089109D">
            <w:pPr>
              <w:pStyle w:val="Bibliography"/>
              <w:rPr>
                <w:noProof/>
                <w:lang w:val="de-DE"/>
              </w:rPr>
            </w:pPr>
            <w:r w:rsidRPr="00D87D1C">
              <w:rPr>
                <w:noProof/>
                <w:lang w:val="de-DE"/>
              </w:rPr>
              <w:t>https://www.innosonix.de/maxxSeries.html?typ=ma32lp</w:t>
            </w:r>
            <w:r>
              <w:rPr>
                <w:noProof/>
                <w:lang w:val="de-DE"/>
              </w:rPr>
              <w:t>2</w:t>
            </w:r>
          </w:p>
        </w:tc>
      </w:tr>
      <w:tr w:rsidR="00D87D1C" w14:paraId="26DF7980" w14:textId="77777777" w:rsidTr="00565E9B">
        <w:trPr>
          <w:divId w:val="424542518"/>
          <w:tblCellSpacing w:w="15" w:type="dxa"/>
        </w:trPr>
        <w:tc>
          <w:tcPr>
            <w:tcW w:w="137" w:type="pct"/>
          </w:tcPr>
          <w:p w14:paraId="1C7FA3CD" w14:textId="1056BC66" w:rsidR="00D87D1C" w:rsidRDefault="00D87D1C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[</w:t>
            </w:r>
            <w:r w:rsidR="00EE4DE7">
              <w:rPr>
                <w:noProof/>
                <w:lang w:val="de-DE"/>
              </w:rPr>
              <w:t>5</w:t>
            </w:r>
            <w:r>
              <w:rPr>
                <w:noProof/>
                <w:lang w:val="de-DE"/>
              </w:rPr>
              <w:t>]</w:t>
            </w:r>
          </w:p>
        </w:tc>
        <w:tc>
          <w:tcPr>
            <w:tcW w:w="0" w:type="auto"/>
          </w:tcPr>
          <w:p w14:paraId="72E42B1B" w14:textId="3765A676" w:rsidR="00EE4DE7" w:rsidRDefault="001631AE" w:rsidP="00EE4DE7">
            <w:pPr>
              <w:pStyle w:val="Bibliography"/>
              <w:rPr>
                <w:noProof/>
                <w:lang w:val="de-DE"/>
              </w:rPr>
            </w:pPr>
            <w:r w:rsidRPr="001631AE">
              <w:rPr>
                <w:noProof/>
                <w:lang w:val="de-DE"/>
              </w:rPr>
              <w:t>https://www.orbaudio.com/</w:t>
            </w:r>
          </w:p>
          <w:p w14:paraId="67BBB36E" w14:textId="27FE8F47" w:rsidR="00EE4DE7" w:rsidRPr="00EE4DE7" w:rsidRDefault="00EE4DE7" w:rsidP="00EE4DE7">
            <w:pPr>
              <w:rPr>
                <w:lang w:val="de-DE"/>
              </w:rPr>
            </w:pPr>
          </w:p>
        </w:tc>
      </w:tr>
    </w:tbl>
    <w:p w14:paraId="52319224" w14:textId="2DC639C8" w:rsidR="00D41F56" w:rsidRPr="00D41F56" w:rsidRDefault="002B779F" w:rsidP="00565E9B">
      <w:r>
        <w:fldChar w:fldCharType="end"/>
      </w:r>
    </w:p>
    <w:sectPr w:rsidR="00D41F56" w:rsidRPr="00D41F5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9F9FE" w14:textId="77777777" w:rsidR="009F47A3" w:rsidRDefault="009F47A3">
      <w:r>
        <w:separator/>
      </w:r>
    </w:p>
  </w:endnote>
  <w:endnote w:type="continuationSeparator" w:id="0">
    <w:p w14:paraId="120ADAEE" w14:textId="77777777" w:rsidR="009F47A3" w:rsidRDefault="009F47A3">
      <w:r>
        <w:continuationSeparator/>
      </w:r>
    </w:p>
  </w:endnote>
  <w:endnote w:type="continuationNotice" w:id="1">
    <w:p w14:paraId="7D721712" w14:textId="77777777" w:rsidR="009F47A3" w:rsidRDefault="009F47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27BF9" w14:textId="77777777" w:rsidR="00ED161B" w:rsidRDefault="00ED161B" w:rsidP="00ED161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65FFD65" w14:textId="7E0B2BF6" w:rsidR="00597B11" w:rsidRPr="00ED161B" w:rsidRDefault="00597B11" w:rsidP="00A33741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14655" w14:textId="77777777" w:rsidR="009F47A3" w:rsidRDefault="009F47A3">
      <w:r>
        <w:separator/>
      </w:r>
    </w:p>
  </w:footnote>
  <w:footnote w:type="continuationSeparator" w:id="0">
    <w:p w14:paraId="12482735" w14:textId="77777777" w:rsidR="009F47A3" w:rsidRDefault="009F47A3">
      <w:r>
        <w:continuationSeparator/>
      </w:r>
    </w:p>
  </w:footnote>
  <w:footnote w:type="continuationNotice" w:id="1">
    <w:p w14:paraId="391BF9FF" w14:textId="77777777" w:rsidR="009F47A3" w:rsidRDefault="009F47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64B9" w14:textId="14010454" w:rsidR="00E9760F" w:rsidRPr="007F0E0B" w:rsidRDefault="00E9760F" w:rsidP="00E9760F">
    <w:pPr>
      <w:pStyle w:val="CRCoverPage"/>
      <w:tabs>
        <w:tab w:val="right" w:pos="9639"/>
      </w:tabs>
      <w:spacing w:after="0"/>
      <w:rPr>
        <w:rFonts w:cs="Arial"/>
        <w:b/>
        <w:i/>
        <w:noProof/>
        <w:sz w:val="28"/>
      </w:rPr>
    </w:pPr>
    <w:r w:rsidRPr="007F0E0B">
      <w:rPr>
        <w:rFonts w:cs="Arial"/>
        <w:b/>
        <w:noProof/>
        <w:sz w:val="24"/>
      </w:rPr>
      <w:t>3GPP TSG-</w:t>
    </w:r>
    <w:r w:rsidRPr="007F0E0B">
      <w:rPr>
        <w:rFonts w:cs="Arial"/>
      </w:rPr>
      <w:fldChar w:fldCharType="begin"/>
    </w:r>
    <w:r w:rsidRPr="007F0E0B">
      <w:rPr>
        <w:rFonts w:cs="Arial"/>
      </w:rPr>
      <w:instrText xml:space="preserve"> DOCPROPERTY  TSG/WGRef  \* MERGEFORMAT </w:instrText>
    </w:r>
    <w:r w:rsidRPr="007F0E0B">
      <w:rPr>
        <w:rFonts w:cs="Arial"/>
      </w:rPr>
      <w:fldChar w:fldCharType="separate"/>
    </w:r>
    <w:r w:rsidRPr="007F0E0B">
      <w:rPr>
        <w:rFonts w:cs="Arial"/>
        <w:b/>
        <w:noProof/>
        <w:sz w:val="24"/>
      </w:rPr>
      <w:t>SA4</w:t>
    </w:r>
    <w:r w:rsidRPr="007F0E0B">
      <w:rPr>
        <w:rFonts w:cs="Arial"/>
        <w:b/>
        <w:noProof/>
        <w:sz w:val="24"/>
      </w:rPr>
      <w:fldChar w:fldCharType="end"/>
    </w:r>
    <w:r w:rsidRPr="007F0E0B">
      <w:rPr>
        <w:rFonts w:cs="Arial"/>
        <w:b/>
        <w:noProof/>
        <w:sz w:val="24"/>
      </w:rPr>
      <w:t xml:space="preserve"> Meeting #</w:t>
    </w:r>
    <w:r w:rsidR="00FF116F" w:rsidRPr="00FF116F">
      <w:rPr>
        <w:rFonts w:cs="Arial"/>
        <w:b/>
        <w:bCs/>
        <w:sz w:val="24"/>
        <w:szCs w:val="24"/>
      </w:rPr>
      <w:t>127-bis-e</w:t>
    </w:r>
    <w:r w:rsidRPr="007F0E0B">
      <w:rPr>
        <w:rFonts w:cs="Arial"/>
      </w:rPr>
      <w:fldChar w:fldCharType="begin"/>
    </w:r>
    <w:r w:rsidRPr="007F0E0B">
      <w:rPr>
        <w:rFonts w:cs="Arial"/>
      </w:rPr>
      <w:instrText xml:space="preserve"> DOCPROPERTY  MtgTitle  \* MERGEFORMAT </w:instrText>
    </w:r>
    <w:r w:rsidR="00000000">
      <w:rPr>
        <w:rFonts w:cs="Arial"/>
      </w:rPr>
      <w:fldChar w:fldCharType="separate"/>
    </w:r>
    <w:r w:rsidRPr="007F0E0B">
      <w:rPr>
        <w:rFonts w:cs="Arial"/>
      </w:rPr>
      <w:fldChar w:fldCharType="end"/>
    </w:r>
    <w:r w:rsidRPr="007F0E0B">
      <w:rPr>
        <w:rFonts w:cs="Arial"/>
        <w:b/>
        <w:i/>
        <w:noProof/>
        <w:sz w:val="28"/>
      </w:rPr>
      <w:tab/>
    </w:r>
    <w:r w:rsidRPr="007F0E0B">
      <w:rPr>
        <w:rFonts w:cs="Arial"/>
      </w:rPr>
      <w:fldChar w:fldCharType="begin"/>
    </w:r>
    <w:r w:rsidRPr="007F0E0B">
      <w:rPr>
        <w:rFonts w:cs="Arial"/>
      </w:rPr>
      <w:instrText xml:space="preserve"> DOCPROPERTY  Tdoc#  \* MERGEFORMAT </w:instrText>
    </w:r>
    <w:r w:rsidRPr="007F0E0B">
      <w:rPr>
        <w:rFonts w:cs="Arial"/>
      </w:rPr>
      <w:fldChar w:fldCharType="separate"/>
    </w:r>
    <w:r w:rsidRPr="007F0E0B">
      <w:rPr>
        <w:rFonts w:cs="Arial"/>
        <w:b/>
        <w:i/>
        <w:noProof/>
        <w:sz w:val="28"/>
      </w:rPr>
      <w:t>S4-240</w:t>
    </w:r>
    <w:r w:rsidR="00B20FF9">
      <w:rPr>
        <w:rFonts w:cs="Arial"/>
        <w:b/>
        <w:i/>
        <w:noProof/>
        <w:sz w:val="28"/>
      </w:rPr>
      <w:t>699</w:t>
    </w:r>
    <w:r w:rsidRPr="007F0E0B">
      <w:rPr>
        <w:rFonts w:cs="Arial"/>
        <w:b/>
        <w:i/>
        <w:noProof/>
        <w:sz w:val="28"/>
      </w:rPr>
      <w:fldChar w:fldCharType="end"/>
    </w:r>
  </w:p>
  <w:p w14:paraId="1024E63D" w14:textId="32C99B8C" w:rsidR="00597B11" w:rsidRPr="00ED161B" w:rsidRDefault="00E9760F" w:rsidP="00E9760F">
    <w:pPr>
      <w:pStyle w:val="CRCoverPage"/>
      <w:tabs>
        <w:tab w:val="right" w:pos="9639"/>
      </w:tabs>
      <w:outlineLvl w:val="0"/>
      <w:rPr>
        <w:b/>
        <w:noProof/>
        <w:sz w:val="24"/>
      </w:rPr>
    </w:pPr>
    <w:r w:rsidRPr="007F0E0B">
      <w:rPr>
        <w:rFonts w:cs="Arial"/>
      </w:rPr>
      <w:fldChar w:fldCharType="begin"/>
    </w:r>
    <w:r w:rsidRPr="007F0E0B">
      <w:rPr>
        <w:rFonts w:cs="Arial"/>
      </w:rPr>
      <w:instrText xml:space="preserve"> DOCPROPERTY  StartDate  \* MERGEFORMAT </w:instrText>
    </w:r>
    <w:r w:rsidRPr="007F0E0B">
      <w:rPr>
        <w:rFonts w:cs="Arial"/>
      </w:rPr>
      <w:fldChar w:fldCharType="separate"/>
    </w:r>
    <w:r w:rsidR="00726482">
      <w:rPr>
        <w:rFonts w:cs="Arial"/>
        <w:b/>
        <w:noProof/>
        <w:sz w:val="24"/>
      </w:rPr>
      <w:t>08-12</w:t>
    </w:r>
    <w:r w:rsidRPr="007F0E0B">
      <w:rPr>
        <w:rFonts w:cs="Arial"/>
        <w:b/>
        <w:noProof/>
        <w:sz w:val="24"/>
      </w:rPr>
      <w:t xml:space="preserve"> </w:t>
    </w:r>
    <w:r w:rsidR="00726482">
      <w:rPr>
        <w:rFonts w:cs="Arial"/>
        <w:b/>
        <w:noProof/>
        <w:sz w:val="24"/>
      </w:rPr>
      <w:t>April</w:t>
    </w:r>
    <w:r w:rsidRPr="007F0E0B">
      <w:rPr>
        <w:rFonts w:cs="Arial"/>
        <w:b/>
        <w:noProof/>
        <w:sz w:val="24"/>
      </w:rPr>
      <w:t xml:space="preserve"> 2024</w:t>
    </w:r>
    <w:r w:rsidRPr="007F0E0B">
      <w:rPr>
        <w:rFonts w:cs="Arial"/>
        <w:b/>
        <w:noProof/>
        <w:sz w:val="24"/>
      </w:rPr>
      <w:fldChar w:fldCharType="end"/>
    </w:r>
    <w:r w:rsidR="00ED161B">
      <w:rPr>
        <w:b/>
        <w:noProof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67E09F0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CFF0A7C"/>
    <w:multiLevelType w:val="hybridMultilevel"/>
    <w:tmpl w:val="F6BC2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4930E2"/>
    <w:multiLevelType w:val="hybridMultilevel"/>
    <w:tmpl w:val="EFD09246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0184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43810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94609046">
    <w:abstractNumId w:val="11"/>
  </w:num>
  <w:num w:numId="4" w16cid:durableId="976641943">
    <w:abstractNumId w:val="14"/>
  </w:num>
  <w:num w:numId="5" w16cid:durableId="1958367138">
    <w:abstractNumId w:val="9"/>
  </w:num>
  <w:num w:numId="6" w16cid:durableId="734743434">
    <w:abstractNumId w:val="7"/>
  </w:num>
  <w:num w:numId="7" w16cid:durableId="1344475647">
    <w:abstractNumId w:val="6"/>
  </w:num>
  <w:num w:numId="8" w16cid:durableId="443302969">
    <w:abstractNumId w:val="5"/>
  </w:num>
  <w:num w:numId="9" w16cid:durableId="254558534">
    <w:abstractNumId w:val="4"/>
  </w:num>
  <w:num w:numId="10" w16cid:durableId="1963152818">
    <w:abstractNumId w:val="8"/>
  </w:num>
  <w:num w:numId="11" w16cid:durableId="111824568">
    <w:abstractNumId w:val="3"/>
  </w:num>
  <w:num w:numId="12" w16cid:durableId="1072313495">
    <w:abstractNumId w:val="2"/>
  </w:num>
  <w:num w:numId="13" w16cid:durableId="1224751167">
    <w:abstractNumId w:val="1"/>
  </w:num>
  <w:num w:numId="14" w16cid:durableId="307515356">
    <w:abstractNumId w:val="0"/>
  </w:num>
  <w:num w:numId="15" w16cid:durableId="546528355">
    <w:abstractNumId w:val="12"/>
  </w:num>
  <w:num w:numId="16" w16cid:durableId="712273046">
    <w:abstractNumId w:val="15"/>
  </w:num>
  <w:num w:numId="17" w16cid:durableId="18194138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4DA"/>
    <w:rsid w:val="00011159"/>
    <w:rsid w:val="00011871"/>
    <w:rsid w:val="00022109"/>
    <w:rsid w:val="000270B9"/>
    <w:rsid w:val="00033397"/>
    <w:rsid w:val="00040095"/>
    <w:rsid w:val="00044C86"/>
    <w:rsid w:val="00051834"/>
    <w:rsid w:val="00054A22"/>
    <w:rsid w:val="00056154"/>
    <w:rsid w:val="000572A1"/>
    <w:rsid w:val="00062023"/>
    <w:rsid w:val="000655A6"/>
    <w:rsid w:val="000710B4"/>
    <w:rsid w:val="0007132A"/>
    <w:rsid w:val="0008043D"/>
    <w:rsid w:val="00080512"/>
    <w:rsid w:val="00096452"/>
    <w:rsid w:val="00096F0D"/>
    <w:rsid w:val="000976BC"/>
    <w:rsid w:val="0009788E"/>
    <w:rsid w:val="000B1FC4"/>
    <w:rsid w:val="000C47C3"/>
    <w:rsid w:val="000D58AB"/>
    <w:rsid w:val="000F1993"/>
    <w:rsid w:val="001228B4"/>
    <w:rsid w:val="00131B71"/>
    <w:rsid w:val="00133525"/>
    <w:rsid w:val="00144958"/>
    <w:rsid w:val="001528DB"/>
    <w:rsid w:val="0016059A"/>
    <w:rsid w:val="0016238C"/>
    <w:rsid w:val="001631AE"/>
    <w:rsid w:val="001639CE"/>
    <w:rsid w:val="00172088"/>
    <w:rsid w:val="00173B1B"/>
    <w:rsid w:val="00173E3B"/>
    <w:rsid w:val="00174E78"/>
    <w:rsid w:val="001849B2"/>
    <w:rsid w:val="001861BF"/>
    <w:rsid w:val="00187641"/>
    <w:rsid w:val="001A09B0"/>
    <w:rsid w:val="001A4655"/>
    <w:rsid w:val="001A4C42"/>
    <w:rsid w:val="001A7420"/>
    <w:rsid w:val="001B0DA7"/>
    <w:rsid w:val="001B5537"/>
    <w:rsid w:val="001B6637"/>
    <w:rsid w:val="001C21C3"/>
    <w:rsid w:val="001C322A"/>
    <w:rsid w:val="001D02C2"/>
    <w:rsid w:val="001D1E9D"/>
    <w:rsid w:val="001F0C1D"/>
    <w:rsid w:val="001F1132"/>
    <w:rsid w:val="001F168B"/>
    <w:rsid w:val="001F2D9E"/>
    <w:rsid w:val="00203C71"/>
    <w:rsid w:val="00207C77"/>
    <w:rsid w:val="00213B3E"/>
    <w:rsid w:val="00220385"/>
    <w:rsid w:val="00225380"/>
    <w:rsid w:val="002347A2"/>
    <w:rsid w:val="00266785"/>
    <w:rsid w:val="002675F0"/>
    <w:rsid w:val="00273453"/>
    <w:rsid w:val="00274526"/>
    <w:rsid w:val="002760EE"/>
    <w:rsid w:val="002811A2"/>
    <w:rsid w:val="002962B3"/>
    <w:rsid w:val="002A41B5"/>
    <w:rsid w:val="002B6339"/>
    <w:rsid w:val="002B779F"/>
    <w:rsid w:val="002C2D14"/>
    <w:rsid w:val="002D060F"/>
    <w:rsid w:val="002E00EE"/>
    <w:rsid w:val="002E0114"/>
    <w:rsid w:val="002E1059"/>
    <w:rsid w:val="002E3410"/>
    <w:rsid w:val="002E3C2F"/>
    <w:rsid w:val="002F2211"/>
    <w:rsid w:val="002F32E8"/>
    <w:rsid w:val="00315B85"/>
    <w:rsid w:val="003172DC"/>
    <w:rsid w:val="00320ADA"/>
    <w:rsid w:val="00337E38"/>
    <w:rsid w:val="00337FF4"/>
    <w:rsid w:val="00344F5F"/>
    <w:rsid w:val="0035462D"/>
    <w:rsid w:val="003552AC"/>
    <w:rsid w:val="00356555"/>
    <w:rsid w:val="003765B8"/>
    <w:rsid w:val="00394709"/>
    <w:rsid w:val="0039508A"/>
    <w:rsid w:val="00395E4E"/>
    <w:rsid w:val="00396D0D"/>
    <w:rsid w:val="003A430B"/>
    <w:rsid w:val="003B5E04"/>
    <w:rsid w:val="003B67E2"/>
    <w:rsid w:val="003C3971"/>
    <w:rsid w:val="004018B6"/>
    <w:rsid w:val="004169B3"/>
    <w:rsid w:val="0042056B"/>
    <w:rsid w:val="00423334"/>
    <w:rsid w:val="004242FD"/>
    <w:rsid w:val="00433745"/>
    <w:rsid w:val="004345EC"/>
    <w:rsid w:val="00445A73"/>
    <w:rsid w:val="0045117E"/>
    <w:rsid w:val="00455B88"/>
    <w:rsid w:val="00460C67"/>
    <w:rsid w:val="00465515"/>
    <w:rsid w:val="00475F50"/>
    <w:rsid w:val="00491AE4"/>
    <w:rsid w:val="0049665B"/>
    <w:rsid w:val="0049751D"/>
    <w:rsid w:val="004B5A01"/>
    <w:rsid w:val="004C1561"/>
    <w:rsid w:val="004C30AC"/>
    <w:rsid w:val="004C54D4"/>
    <w:rsid w:val="004C5B22"/>
    <w:rsid w:val="004C6602"/>
    <w:rsid w:val="004C72AD"/>
    <w:rsid w:val="004D3578"/>
    <w:rsid w:val="004E213A"/>
    <w:rsid w:val="004E400C"/>
    <w:rsid w:val="004F0092"/>
    <w:rsid w:val="004F0959"/>
    <w:rsid w:val="004F0988"/>
    <w:rsid w:val="004F3340"/>
    <w:rsid w:val="004F658F"/>
    <w:rsid w:val="00503540"/>
    <w:rsid w:val="00514EAB"/>
    <w:rsid w:val="00515F36"/>
    <w:rsid w:val="00521317"/>
    <w:rsid w:val="00524A9C"/>
    <w:rsid w:val="0053388B"/>
    <w:rsid w:val="00535773"/>
    <w:rsid w:val="00543703"/>
    <w:rsid w:val="00543E6C"/>
    <w:rsid w:val="005461FD"/>
    <w:rsid w:val="005476EE"/>
    <w:rsid w:val="00553835"/>
    <w:rsid w:val="00555A4A"/>
    <w:rsid w:val="00563F3A"/>
    <w:rsid w:val="00565087"/>
    <w:rsid w:val="00565E9B"/>
    <w:rsid w:val="0059120D"/>
    <w:rsid w:val="00594CB7"/>
    <w:rsid w:val="00597B11"/>
    <w:rsid w:val="005A11B6"/>
    <w:rsid w:val="005A51E7"/>
    <w:rsid w:val="005B0A34"/>
    <w:rsid w:val="005B43DF"/>
    <w:rsid w:val="005B561E"/>
    <w:rsid w:val="005C35C7"/>
    <w:rsid w:val="005C7F93"/>
    <w:rsid w:val="005D2E01"/>
    <w:rsid w:val="005D3164"/>
    <w:rsid w:val="005D6A2D"/>
    <w:rsid w:val="005D7526"/>
    <w:rsid w:val="005E4BB2"/>
    <w:rsid w:val="005E55B4"/>
    <w:rsid w:val="005E688B"/>
    <w:rsid w:val="005F5826"/>
    <w:rsid w:val="005F788A"/>
    <w:rsid w:val="00602AEA"/>
    <w:rsid w:val="00613FDC"/>
    <w:rsid w:val="00614FDF"/>
    <w:rsid w:val="006156A5"/>
    <w:rsid w:val="0063543D"/>
    <w:rsid w:val="006368B7"/>
    <w:rsid w:val="00640448"/>
    <w:rsid w:val="00644025"/>
    <w:rsid w:val="00644710"/>
    <w:rsid w:val="006463AB"/>
    <w:rsid w:val="006466C0"/>
    <w:rsid w:val="00647114"/>
    <w:rsid w:val="006552F1"/>
    <w:rsid w:val="00656CD5"/>
    <w:rsid w:val="00664F39"/>
    <w:rsid w:val="00670CF4"/>
    <w:rsid w:val="006828F1"/>
    <w:rsid w:val="006912E9"/>
    <w:rsid w:val="006A323F"/>
    <w:rsid w:val="006A358F"/>
    <w:rsid w:val="006A7CAB"/>
    <w:rsid w:val="006B30D0"/>
    <w:rsid w:val="006C3D95"/>
    <w:rsid w:val="006D132E"/>
    <w:rsid w:val="006D5527"/>
    <w:rsid w:val="006D7ABC"/>
    <w:rsid w:val="006E5C86"/>
    <w:rsid w:val="006F272F"/>
    <w:rsid w:val="007000D6"/>
    <w:rsid w:val="00701116"/>
    <w:rsid w:val="007054AF"/>
    <w:rsid w:val="00710EFA"/>
    <w:rsid w:val="0071174C"/>
    <w:rsid w:val="00713C44"/>
    <w:rsid w:val="00726482"/>
    <w:rsid w:val="00730345"/>
    <w:rsid w:val="007328FC"/>
    <w:rsid w:val="00734A5B"/>
    <w:rsid w:val="00737475"/>
    <w:rsid w:val="0074026F"/>
    <w:rsid w:val="007429F6"/>
    <w:rsid w:val="00744E76"/>
    <w:rsid w:val="007560DA"/>
    <w:rsid w:val="0076296E"/>
    <w:rsid w:val="007641A3"/>
    <w:rsid w:val="00765EA3"/>
    <w:rsid w:val="00774DA4"/>
    <w:rsid w:val="00781F0F"/>
    <w:rsid w:val="007979BB"/>
    <w:rsid w:val="007A688E"/>
    <w:rsid w:val="007B4B19"/>
    <w:rsid w:val="007B600E"/>
    <w:rsid w:val="007B6DF1"/>
    <w:rsid w:val="007C6C7A"/>
    <w:rsid w:val="007D12D4"/>
    <w:rsid w:val="007D4774"/>
    <w:rsid w:val="007E3FB7"/>
    <w:rsid w:val="007F0F4A"/>
    <w:rsid w:val="007F1432"/>
    <w:rsid w:val="007F65B5"/>
    <w:rsid w:val="00800A79"/>
    <w:rsid w:val="00801E50"/>
    <w:rsid w:val="008028A4"/>
    <w:rsid w:val="0081178D"/>
    <w:rsid w:val="00820583"/>
    <w:rsid w:val="008258BD"/>
    <w:rsid w:val="00830747"/>
    <w:rsid w:val="00830904"/>
    <w:rsid w:val="00832298"/>
    <w:rsid w:val="00832378"/>
    <w:rsid w:val="00852D2B"/>
    <w:rsid w:val="0085378B"/>
    <w:rsid w:val="00855C63"/>
    <w:rsid w:val="00866A8B"/>
    <w:rsid w:val="00874EB9"/>
    <w:rsid w:val="00875D54"/>
    <w:rsid w:val="008768CA"/>
    <w:rsid w:val="00886CD5"/>
    <w:rsid w:val="0089109D"/>
    <w:rsid w:val="0089689F"/>
    <w:rsid w:val="008B02BD"/>
    <w:rsid w:val="008C384C"/>
    <w:rsid w:val="008C7B64"/>
    <w:rsid w:val="008D3E0C"/>
    <w:rsid w:val="008D5B33"/>
    <w:rsid w:val="008D5BEA"/>
    <w:rsid w:val="008E2D68"/>
    <w:rsid w:val="008E6756"/>
    <w:rsid w:val="008F5201"/>
    <w:rsid w:val="0090271F"/>
    <w:rsid w:val="00902E23"/>
    <w:rsid w:val="0090396B"/>
    <w:rsid w:val="00903FF6"/>
    <w:rsid w:val="009114D7"/>
    <w:rsid w:val="0091348E"/>
    <w:rsid w:val="009151E1"/>
    <w:rsid w:val="00917CCB"/>
    <w:rsid w:val="00921076"/>
    <w:rsid w:val="00933FB0"/>
    <w:rsid w:val="00942EC2"/>
    <w:rsid w:val="009457CB"/>
    <w:rsid w:val="009478B2"/>
    <w:rsid w:val="00956914"/>
    <w:rsid w:val="00965277"/>
    <w:rsid w:val="00970855"/>
    <w:rsid w:val="00975DAE"/>
    <w:rsid w:val="0097741E"/>
    <w:rsid w:val="00994100"/>
    <w:rsid w:val="00995C79"/>
    <w:rsid w:val="009C66FA"/>
    <w:rsid w:val="009D1D69"/>
    <w:rsid w:val="009F0718"/>
    <w:rsid w:val="009F37B7"/>
    <w:rsid w:val="009F47A3"/>
    <w:rsid w:val="009F632E"/>
    <w:rsid w:val="00A00174"/>
    <w:rsid w:val="00A035E9"/>
    <w:rsid w:val="00A04BC3"/>
    <w:rsid w:val="00A10F02"/>
    <w:rsid w:val="00A12BA1"/>
    <w:rsid w:val="00A164B4"/>
    <w:rsid w:val="00A26956"/>
    <w:rsid w:val="00A27486"/>
    <w:rsid w:val="00A33741"/>
    <w:rsid w:val="00A34FAB"/>
    <w:rsid w:val="00A35220"/>
    <w:rsid w:val="00A35937"/>
    <w:rsid w:val="00A4272E"/>
    <w:rsid w:val="00A53724"/>
    <w:rsid w:val="00A5407B"/>
    <w:rsid w:val="00A56066"/>
    <w:rsid w:val="00A60D6B"/>
    <w:rsid w:val="00A64AD7"/>
    <w:rsid w:val="00A65626"/>
    <w:rsid w:val="00A701B4"/>
    <w:rsid w:val="00A73129"/>
    <w:rsid w:val="00A82346"/>
    <w:rsid w:val="00A85F4D"/>
    <w:rsid w:val="00A926D8"/>
    <w:rsid w:val="00A92BA1"/>
    <w:rsid w:val="00A95A32"/>
    <w:rsid w:val="00AA1B8C"/>
    <w:rsid w:val="00AB4A5D"/>
    <w:rsid w:val="00AB6328"/>
    <w:rsid w:val="00AC21B0"/>
    <w:rsid w:val="00AC4675"/>
    <w:rsid w:val="00AC6BC6"/>
    <w:rsid w:val="00AD2AE3"/>
    <w:rsid w:val="00AD45A1"/>
    <w:rsid w:val="00AE6164"/>
    <w:rsid w:val="00AE65E2"/>
    <w:rsid w:val="00AF1460"/>
    <w:rsid w:val="00AF23FC"/>
    <w:rsid w:val="00AF2A6A"/>
    <w:rsid w:val="00B000B0"/>
    <w:rsid w:val="00B04966"/>
    <w:rsid w:val="00B0762B"/>
    <w:rsid w:val="00B15449"/>
    <w:rsid w:val="00B20FF9"/>
    <w:rsid w:val="00B21BF6"/>
    <w:rsid w:val="00B35058"/>
    <w:rsid w:val="00B71DE3"/>
    <w:rsid w:val="00B852C8"/>
    <w:rsid w:val="00B90A2A"/>
    <w:rsid w:val="00B93086"/>
    <w:rsid w:val="00B95440"/>
    <w:rsid w:val="00BA19ED"/>
    <w:rsid w:val="00BA4998"/>
    <w:rsid w:val="00BA4B8D"/>
    <w:rsid w:val="00BA516E"/>
    <w:rsid w:val="00BA580B"/>
    <w:rsid w:val="00BB5D15"/>
    <w:rsid w:val="00BB6579"/>
    <w:rsid w:val="00BC0F7D"/>
    <w:rsid w:val="00BC6748"/>
    <w:rsid w:val="00BD7D31"/>
    <w:rsid w:val="00BE0CFA"/>
    <w:rsid w:val="00BE3255"/>
    <w:rsid w:val="00BE46D5"/>
    <w:rsid w:val="00BE77EC"/>
    <w:rsid w:val="00BF0E4B"/>
    <w:rsid w:val="00BF128E"/>
    <w:rsid w:val="00C074DD"/>
    <w:rsid w:val="00C12827"/>
    <w:rsid w:val="00C1496A"/>
    <w:rsid w:val="00C33079"/>
    <w:rsid w:val="00C34158"/>
    <w:rsid w:val="00C4281E"/>
    <w:rsid w:val="00C4425D"/>
    <w:rsid w:val="00C45231"/>
    <w:rsid w:val="00C474B1"/>
    <w:rsid w:val="00C50AC4"/>
    <w:rsid w:val="00C551FF"/>
    <w:rsid w:val="00C60883"/>
    <w:rsid w:val="00C63151"/>
    <w:rsid w:val="00C72833"/>
    <w:rsid w:val="00C80F1D"/>
    <w:rsid w:val="00C8254E"/>
    <w:rsid w:val="00C87E29"/>
    <w:rsid w:val="00C91962"/>
    <w:rsid w:val="00C92028"/>
    <w:rsid w:val="00C93F40"/>
    <w:rsid w:val="00CA0A72"/>
    <w:rsid w:val="00CA3906"/>
    <w:rsid w:val="00CA3D0C"/>
    <w:rsid w:val="00CA70DE"/>
    <w:rsid w:val="00CC604F"/>
    <w:rsid w:val="00CD4CBE"/>
    <w:rsid w:val="00CF6E01"/>
    <w:rsid w:val="00D069DC"/>
    <w:rsid w:val="00D2067B"/>
    <w:rsid w:val="00D23FE5"/>
    <w:rsid w:val="00D25BDB"/>
    <w:rsid w:val="00D30CBB"/>
    <w:rsid w:val="00D31D8D"/>
    <w:rsid w:val="00D36D2A"/>
    <w:rsid w:val="00D372CE"/>
    <w:rsid w:val="00D41F56"/>
    <w:rsid w:val="00D555B1"/>
    <w:rsid w:val="00D57972"/>
    <w:rsid w:val="00D57B40"/>
    <w:rsid w:val="00D6286D"/>
    <w:rsid w:val="00D67378"/>
    <w:rsid w:val="00D675A9"/>
    <w:rsid w:val="00D738D6"/>
    <w:rsid w:val="00D755EB"/>
    <w:rsid w:val="00D76048"/>
    <w:rsid w:val="00D82E6F"/>
    <w:rsid w:val="00D843EF"/>
    <w:rsid w:val="00D87D1C"/>
    <w:rsid w:val="00D87E00"/>
    <w:rsid w:val="00D9134D"/>
    <w:rsid w:val="00D93342"/>
    <w:rsid w:val="00D94350"/>
    <w:rsid w:val="00DA07B1"/>
    <w:rsid w:val="00DA7A03"/>
    <w:rsid w:val="00DB1818"/>
    <w:rsid w:val="00DC309B"/>
    <w:rsid w:val="00DC4DA2"/>
    <w:rsid w:val="00DD4C17"/>
    <w:rsid w:val="00DD74A5"/>
    <w:rsid w:val="00DF2B1F"/>
    <w:rsid w:val="00DF3FB4"/>
    <w:rsid w:val="00DF62CD"/>
    <w:rsid w:val="00E111FC"/>
    <w:rsid w:val="00E13AA8"/>
    <w:rsid w:val="00E13FD4"/>
    <w:rsid w:val="00E1636A"/>
    <w:rsid w:val="00E16509"/>
    <w:rsid w:val="00E208A0"/>
    <w:rsid w:val="00E25081"/>
    <w:rsid w:val="00E3198C"/>
    <w:rsid w:val="00E32D46"/>
    <w:rsid w:val="00E32F77"/>
    <w:rsid w:val="00E37554"/>
    <w:rsid w:val="00E44582"/>
    <w:rsid w:val="00E77645"/>
    <w:rsid w:val="00E829C0"/>
    <w:rsid w:val="00E868C4"/>
    <w:rsid w:val="00E9318B"/>
    <w:rsid w:val="00E93F41"/>
    <w:rsid w:val="00E9760F"/>
    <w:rsid w:val="00EA15B0"/>
    <w:rsid w:val="00EA19D6"/>
    <w:rsid w:val="00EA5EA7"/>
    <w:rsid w:val="00EA66BD"/>
    <w:rsid w:val="00EC4A25"/>
    <w:rsid w:val="00EC4F2F"/>
    <w:rsid w:val="00ED161B"/>
    <w:rsid w:val="00ED5A78"/>
    <w:rsid w:val="00ED66C7"/>
    <w:rsid w:val="00EE2DAB"/>
    <w:rsid w:val="00EE4DE7"/>
    <w:rsid w:val="00EE5D0A"/>
    <w:rsid w:val="00EF529D"/>
    <w:rsid w:val="00EF608C"/>
    <w:rsid w:val="00F025A2"/>
    <w:rsid w:val="00F0381A"/>
    <w:rsid w:val="00F04712"/>
    <w:rsid w:val="00F1318F"/>
    <w:rsid w:val="00F13360"/>
    <w:rsid w:val="00F13374"/>
    <w:rsid w:val="00F165B1"/>
    <w:rsid w:val="00F22EC7"/>
    <w:rsid w:val="00F249FC"/>
    <w:rsid w:val="00F269E6"/>
    <w:rsid w:val="00F325C8"/>
    <w:rsid w:val="00F33B9D"/>
    <w:rsid w:val="00F34834"/>
    <w:rsid w:val="00F35EF5"/>
    <w:rsid w:val="00F42C81"/>
    <w:rsid w:val="00F653B8"/>
    <w:rsid w:val="00F70DB5"/>
    <w:rsid w:val="00F72045"/>
    <w:rsid w:val="00F84997"/>
    <w:rsid w:val="00F9008D"/>
    <w:rsid w:val="00F9048B"/>
    <w:rsid w:val="00F93BDE"/>
    <w:rsid w:val="00F953A8"/>
    <w:rsid w:val="00F9547C"/>
    <w:rsid w:val="00FA1266"/>
    <w:rsid w:val="00FB05CC"/>
    <w:rsid w:val="00FB2A04"/>
    <w:rsid w:val="00FB5A14"/>
    <w:rsid w:val="00FB64A0"/>
    <w:rsid w:val="00FB76CB"/>
    <w:rsid w:val="00FC1192"/>
    <w:rsid w:val="00FC6F6F"/>
    <w:rsid w:val="00FD13F5"/>
    <w:rsid w:val="00FD6F47"/>
    <w:rsid w:val="00FF116F"/>
    <w:rsid w:val="00FF631B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1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ED161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F249FC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B90A2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3GPPS4231970</b:Tag>
    <b:SourceType>ElectronicSource</b:SourceType>
    <b:Guid>{D19C0E63-3C05-444D-8F3C-C205013C89D3}</b:Guid>
    <b:Author>
      <b:Author>
        <b:Corporate>3GPP S4-231970</b:Corporate>
      </b:Author>
    </b:Author>
    <b:Title>PDoc ATIAS-1 v0.6.0</b:Title>
    <b:Publisher>Audio SWG</b:Publisher>
    <b:RefOrder>1</b:RefOrder>
  </b:Source>
  <b:Source>
    <b:Tag>ITUT_P58_03_2023</b:Tag>
    <b:SourceType>ConferenceProceedings</b:SourceType>
    <b:Guid>{AA648A2A-4E6C-4AF6-8270-76E4150F7BD2}</b:Guid>
    <b:Title>Head and torso simulator for telephonometry</b:Title>
    <b:Year>03/2023</b:Year>
    <b:Author>
      <b:Author>
        <b:Corporate>Recommendation ITU-T P.58</b:Corporate>
      </b:Author>
    </b:Author>
    <b:RefOrder>2</b:RefOrder>
  </b:Source>
  <b:Source>
    <b:Tag>ITU_T_P581_07_2022</b:Tag>
    <b:SourceType>ConferenceProceedings</b:SourceType>
    <b:Guid>{C6938D5A-3525-4A66-8311-EE22EE6C5D0B}</b:Guid>
    <b:Author>
      <b:Author>
        <b:Corporate>Recommendation ITU-T P.581</b:Corporate>
      </b:Author>
    </b:Author>
    <b:Title>Use of head and torso simulator for hands-free and handset terminal testing </b:Title>
    <b:Year>07/2022</b:Year>
    <b:RefOrder>6</b:RefOrder>
  </b:Source>
  <b:Source>
    <b:Tag>ITUT_P501_2022_06</b:Tag>
    <b:SourceType>ConferenceProceedings</b:SourceType>
    <b:Guid>{EA7B15BA-6C16-4551-A276-BA587967895C}</b:Guid>
    <b:Title>Test signals for use in telephony and other speech-based applications</b:Title>
    <b:Year>06/2022</b:Year>
    <b:Author>
      <b:Author>
        <b:Corporate>ITU-T Recommendation P.501</b:Corporate>
      </b:Author>
    </b:Author>
    <b:RefOrder>3</b:RefOrder>
  </b:Source>
  <b:Source>
    <b:Tag>ITUP56</b:Tag>
    <b:SourceType>ConferenceProceedings</b:SourceType>
    <b:Guid>{CBDDA6E6-1B5B-4A51-B13C-80FCFA4E58F3}</b:Guid>
    <b:Author>
      <b:Author>
        <b:Corporate>ITU-T Recommendation P.56</b:Corporate>
      </b:Author>
    </b:Author>
    <b:Title>Objective measurement of active speech level</b:Title>
    <b:Year>12/2011</b:Year>
    <b:RefOrder>4</b:RefOrder>
  </b:Source>
  <b:Source>
    <b:Tag>IEC61672_1_2013</b:Tag>
    <b:SourceType>ConferenceProceedings</b:SourceType>
    <b:Guid>{6B773DDF-CDCB-4D8A-B128-93B2595DF236}</b:Guid>
    <b:Author>
      <b:Author>
        <b:Corporate>IEC 61672-1:2013</b:Corporate>
      </b:Author>
    </b:Author>
    <b:Title>Electroacoustics - Sound level meters - Part 1: Specifications</b:Title>
    <b:Year>2013</b:Year>
    <b:RefOrder>5</b:RefOrder>
  </b:Source>
</b:Sources>
</file>

<file path=customXml/itemProps1.xml><?xml version="1.0" encoding="utf-8"?>
<ds:datastoreItem xmlns:ds="http://schemas.openxmlformats.org/officeDocument/2006/customXml" ds:itemID="{DC3976C6-BB2A-45DF-9889-B8A1EC7D1E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Andre Schevciw</dc:creator>
  <cp:keywords>&lt;keyword[, keyword, ]&gt;</cp:keywords>
  <cp:lastModifiedBy>Andre Schevciw</cp:lastModifiedBy>
  <cp:revision>30</cp:revision>
  <cp:lastPrinted>2019-02-25T14:05:00Z</cp:lastPrinted>
  <dcterms:created xsi:type="dcterms:W3CDTF">2024-04-03T17:42:00Z</dcterms:created>
  <dcterms:modified xsi:type="dcterms:W3CDTF">2024-04-03T18:02:00Z</dcterms:modified>
</cp:coreProperties>
</file>